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23 vom 12. Juli 2024</w:t>
      </w:r>
    </w:p>
    <w:p>
      <w:r>
        <w:t>VS Kantonsgericht, 2024-07-12, FR</w:t>
      </w:r>
    </w:p>
    <w:p>
      <w:r>
        <w:rPr>
          <w:b/>
        </w:rPr>
        <w:t xml:space="preserve">Quelle: </w:t>
      </w:r>
      <w:r>
        <w:t>https://mcp.opencaselaw.ch/entscheid/vs_gerichte_A1 24 23</w:t>
      </w:r>
    </w:p>
    <w:p>
      <w:r>
        <w:t>FR: VS_GERICHTE A1 24 23 du 12 juillet 2024</w:t>
      </w:r>
    </w:p>
    <w:p>
      <w:r>
        <w:t>IT: VS_GERICHTE A1 24 23 del 12 luglio 2024</w:t>
      </w:r>
    </w:p>
    <w:p>
      <w:pPr>
        <w:pStyle w:val="Heading2"/>
      </w:pPr>
      <w:r>
        <w:t>Regeste</w:t>
      </w:r>
    </w:p>
    <w:p>
      <w:r>
        <w:t>A1 24 23 ARRÊT DU 12 JUILLET 2024 Tribunal cantonal Cour de droit public Le juge soussigné de la Cour de droit public du Tribunal cantonal statuant sur la base des art. 72 ss de la loi du 6 octobre 1976 sur la procédure et la juridiction administratives (LPJA ; RS/VS 172.6) et de l’art. 26 al. 3 de la loi d’application, datée du 12 mai 2017 (LACP ; RS/VS 311.1), du code pénal suisse du 21 décembre 1937 (CP ; RS 311.0) en la cause X _________, recourant représenté par Maître Michel De Palma, avocat, 1951 Sion contre OFFICE DES SANCTIONS ET DES MESURES D’ACCOMPAGNEMENT, autorité attaquée (exécution des peines)</w:t>
      </w:r>
    </w:p>
    <w:p>
      <w:pPr>
        <w:pStyle w:val="Heading2"/>
      </w:pPr>
      <w:r>
        <w:t>Erwägungen</w:t>
      </w:r>
    </w:p>
    <w:p>
      <w:r>
        <w:rPr>
          <w:b/>
        </w:rPr>
        <w:t>E. 1</w:t>
      </w:r>
    </w:p>
    <w:p>
      <w:r>
        <w:t>Le recours est recevable (art. 72, 80 al. 1 lit. a, c, d, 44 al. 1 lit. a, 46, 48 LPJA ; art. 26 al. 1 et 3 LACP).</w:t>
      </w:r>
    </w:p>
    <w:p>
      <w:r>
        <w:rPr>
          <w:b/>
        </w:rPr>
        <w:t>E. 2</w:t>
      </w:r>
    </w:p>
    <w:p>
      <w:r>
        <w:t>L’art. 10 al. 3 LPJA veut que la juridiction ordinaire de recours tranche les conflits sur la récusation d’autorités non collégiales. Dans le contentieux des décisions administratives se rapportant à l’exécution des condamnations pénales, cette juridiction est exercée par un juge du Tribunal cantonal (art. 26 al. 3 LACP), ce qui aurait dû inciter le Chef de l’OSAMA à faire suivre au greffe la demande de récusation que dirigeait contre lui la réclamation du 15 novembre 2023 de X _________ (art. 7 al. 3 LPJA en relation avec l’art. 26 al. 3 LACP). En déboutant X _________ sur cette question, la décision attaquée empiète sur les attributions du pouvoir judiciaire et méconnaît des règles essentielles de compétence, ce qui entraîne sa nullité partielle (cf. p. ex. ACDP A1 24 56 du 5 juillet 2024 cons. 2.1 citant ATF 144 IV 362 cons. 1.4.3). Les passages de cette décision niant que le Chef de l’OSAMA aurait dû se récuser ne sont donc à prendre en compte qu’à titre de détermination de cette autorité sur les motifs développés par X _________ sur cet aspect de la cause.</w:t>
      </w:r>
    </w:p>
    <w:p>
      <w:r>
        <w:rPr>
          <w:b/>
        </w:rPr>
        <w:t>E. 3</w:t>
      </w:r>
    </w:p>
    <w:p>
      <w:r>
        <w:t>Il est, à cet égard, constant que la requête du 4 octobre 2023 de X _________ ne demandait pas la récusation du Chef de l’OSAMA, à la différence de sa réclamation du 15 novembre 2023 contre la décision du 12 octobre 2023 de cette autorité sur ladite requête. La bonne foi que l’art. 5 al. 3 Cst féd. exige tant des particuliers que l’Etat impose à la partie qui a connaissance d’un motif de récusation de le faire valoir immédiatement ; si elle tarde, elle perd, sauf exceptions irrelevantes ici, le droit de contester ultérieurement la décision prise par un agent de l’Etat en lui reprochant de ne pas s’être récusé (cf. p. ex. ATF 2C_602/2023 du 21 mai 2024 cons. 4.2 et 4.4). X _________ a encouru cette forclusion, car le dossier ne laisse aucunement penser que, le 4 octobre 2023, il ignorait les faits qu’il a avancés, dans sa réclamation du 15 novembre 2023, à l’appui de sa demande de récusation du Chef de l’OSAMA.</w:t>
      </w:r>
    </w:p>
    <w:p>
      <w:r>
        <w:t>- 7 -</w:t>
      </w:r>
    </w:p>
    <w:p>
      <w:r>
        <w:rPr>
          <w:b/>
        </w:rPr>
        <w:t>E. 4</w:t>
      </w:r>
    </w:p>
    <w:p>
      <w:r>
        <w:t>L’art. 90 CP régit l’exécution des mesures prévues aux art. 59 à 61 CP (cf. al. 1). On lit, à son al. 4, que pour autant que les exigences du traitement institutionnel n’entraînent pas de restrictions complémentaires, l’art. 84 CP vaut par analogie pour les relations des personnes concernées avec le monde extérieur. L’al. 6 de l’art. 84 CP énonce que des congés d’une longueur appropriée sont accordés au détenu pour lui permettre d’entretenir de telles relations, de préparer sa libération ou pour des motifs particuliers, pour autant que son comportement ne s’y oppose pas et qu’il n’y ait pas lieu de craindre qu’il s’enfuie ou commette d’autres infractions. L’art. 90 al. 4bis CP déclare l’art. 75a CP applicable par analogie à l’octroi d’allègements. Intitulé « mesures particulières de sécurité », l’art. 75a CP prévoit, lorsqu’il est question de l’octroi d’allègements, notion incluant les congés (al. 2), un examen du caractère dangereux du détenu pour la collectivité ; selon son al. 3, ce caractère dangereux est admis s’il y a lieu de craindre que le détenu s’enfuie et commette une autre infraction par laquelle il porterait gravement atteinte à l’intégrité physique, psychique ou sexuelle d’autrui. L’al. 6 de l’art. 90 CP commande d’établir, au début de l’exécution de la mesure, un plan d’exécution portant, entre autres éléments, sur « les moyens d’éviter la mise en danger des tiers », ce qui revient à dire que les allègements sont un des sujets à aborder dans ce plan, vu qu’ils doivent être refusés si l’on peut s’attendre à ce qu’ils soient source d’un pareil danger.</w:t>
      </w:r>
    </w:p>
    <w:p>
      <w:r>
        <w:rPr>
          <w:b/>
        </w:rPr>
        <w:t>E. 5</w:t>
      </w:r>
    </w:p>
    <w:p>
      <w:r>
        <w:t>Applicable via l’art. 34 lit. b LACP (cf. aussi art. 76 al. 3 du règlement du 10 décembre 1993 sur les établissements de détention du canton du Valais - RS/VS 340.200), l’art. 4 al. 1 du règlement RS/VS 343.300 assigne aux autorisations de sorties ces objectifs dont l’énumération n’est pas exhaustive : (a) contribuer à l’entretien des relations avec le monde extérieur ; (b) permettre au détenu de s’occuper d’affaires personnelles, professionnelles ou judiciaires qui ne peuvent être différées et pour lesquelles sa présence hors de l’établissement d’exécution est indispensable ; (c) lui permettre de s’occuper d’affaires personnelles, vitales et légales qui ne peuvent être différées et pour lesquelles sa présence hors de l’établissement est indispensable ; (d) maintenir le lien avec le monde extérieur et structurer une exécution de longue durée ; (e) fins thérapeutiques (p. ex. accomplissement de tâches thérapeutiques ; vérification d’un travail thérapeutique ; maintien de la motivation de base au travail thérapeutique) ; (f) préparer la libération.</w:t>
      </w:r>
    </w:p>
    <w:p>
      <w:r>
        <w:t>- 8 - Il s’ensuit que l’autorisation d’une autorisation de sortie suppose la réalisation d’exigences cumulatives : son but doit être l’un de ceux fixés par le droit positif ; cet allègement doit correspondre au plan d’exécution et n’impliquer aucun risque de fuite ou de récidive (cf. p. ex. ATF 7B_796/2023 du 4 décembre 2023 cons. 2.4).</w:t>
      </w:r>
    </w:p>
    <w:p>
      <w:r>
        <w:rPr>
          <w:b/>
        </w:rPr>
        <w:t>E. 6</w:t>
      </w:r>
    </w:p>
    <w:p>
      <w:r>
        <w:t>Le recourant souligne que son incarcération l’avait empêché pendant plus d’une vingtaine d’années de bénéficier de la présence de sa femme et que « lorsque (celle-ci) vient le trouver à la Prison de Sion, les visites se font derrière une vitre sécurisée empêchant tout réel contact humain. Ces éléments sont à l’origine de la requête du 4 octobre 2023, puisque M. X _________ requérait simplement une autorisation de sortie unique et sous escorte afin qu’il puisse se recueillir avec sa femme et prendre congé de sa mère au domicile de son épouse ». L’OSAMA aurait ainsi argué à tort de l’absence de « justification quant au processus envisagé par l’intéressé afin de « faire son deuil » et pour lequel la durée maximale d’une permission serait apparemment insuffisante » (p. 22 du mémoire du 1er février 2024).</w:t>
      </w:r>
    </w:p>
    <w:p>
      <w:r>
        <w:rPr>
          <w:b/>
        </w:rPr>
        <w:t>E. 7</w:t>
      </w:r>
    </w:p>
    <w:p>
      <w:r>
        <w:t>La dixième des « notes historiques » figurant dans l’annexe du règlement RS/VS 343.300 montre que l’auteur de cet acte législatif envisage le risque de décès d’un parent proche du détenu comme une urgence nécessitant de déroger dans ce cas aux règles de compétence des art. 6 ss de ce règlement et d’attribuer en principe à la direction de l’établissement d’exécution la compétence décider de l’octroi de l’autorisation de sortie, cette décision initiale pouvant toutefois les autres autorités désignées en fonction des art. 6 ss pouvant (cf. ch. 3.3 de l’annexe). La Conférence du Concordat sur l’exécution de la détention pénale des personnes mineures de Suisse romande (et partiellement du Tessin) a édicté le 31 octobre 2013 un règlement concernant l’octroi d’autorisations de sortie aux personnes condamnées mineures. Lui aussi applicable en Valais (RS/VS 343.400), ce règlement désigne l’autorité de placement comme compétente pour statuer sur la première demande de congé (al. 1) et la direction de l’établissement comme compétente pour statuer sur les demandes ultérieures (al. 2). Son art. 6 énumère des conditions d’octroi d’autorisations de sortie ; son art. 7 institue des dérogations à ces conditions et les subordonne à des motifs exceptionnels qu’il illustre par deux exemples : la participation à l’enterrement d’un proche ou à un entretien professionnel.</w:t>
      </w:r>
    </w:p>
    <w:p>
      <w:r>
        <w:t>- 9 -</w:t>
      </w:r>
    </w:p>
    <w:p>
      <w:r>
        <w:rPr>
          <w:b/>
        </w:rPr>
        <w:t>E. 8</w:t>
      </w:r>
    </w:p>
    <w:p>
      <w:r>
        <w:t>Il résulte de ces normes que l’éventualité d’un décès imminent d’un proche d’un détenu est une raison d’accorder à ce dernier une autorisation de sortie afin qu’il puisse visiter ce tiers, et qu’une autorisation de ce genre ne doit, d’ordinaire, pas être refusée à un détenu qui veut assister aux obsèques d’un proche. Dans les deux hypothèses, l’octroi de l’autorisation dépend du risque d’un décès à brève échéance ou d’un décès survenu peu de temps auparavant. Ces situations entrent, en droit matériel, dans les prévisions de l’art. 4 al. 1 lit. c du règlement RS/VS 343.300, disposition instituant des autorisations de sortie destinées à permettre au détenu de s’occuper d’affaires personnelles, vitales et légales qui ne peuvent être différées et rendent indispensables sa présence hors de l’établissement d’exécution.</w:t>
      </w:r>
    </w:p>
    <w:p>
      <w:r>
        <w:rPr>
          <w:b/>
        </w:rPr>
        <w:t>E. 9</w:t>
      </w:r>
    </w:p>
    <w:p>
      <w:r>
        <w:t>Le début de la deuxième phrase de la requête du 4 octobre 2023 de X _________ à l’OSAMA était libellé : « comme vous le savez, la mère de M. X _________ (…) est décédée durant le courant du mois d’août ». La phrase suivante fondait la demande d’autorisation de sortie sur l’art. 3 al. 1 lit. b du règlement RS/VS 343.300 définissant les permissions comme étant une autorisation de sortie « accordée à la personne détenue pour s’occuper d’affaires personnelles, professionnelles ou judiciaires qui ne peuvent être différées et pour lesquelles sa présence hors de l’établissement est indispensable », formulation recoupant assez largement celle de l’art. 4 al. 1 lit. c. Or, si X _________ savait depuis un certain temps que sa mère était décédée en août 2023, sa requête du 4 octobre 2023 ne pouvait s’étayer utilement sur l’art. 3 al. 1 lit. b ou sur l’art. 4 al. 1 lit. c du règlement RS/VS 343.300, faute d’une suffisante proximité temporelle entre ladite requête et ledit décès. Cela étant, le recourant n’avait aucun droit à l’admission de cette demande, de sorte que le rejet de sa réclamation ne débouche en somme sur aucune illégalité. L’examen du solde de ses griefs contestant le refus décidé par l’OSAMA ne changerait rien à ce constat.</w:t>
      </w:r>
    </w:p>
    <w:p>
      <w:r>
        <w:rPr>
          <w:b/>
        </w:rPr>
        <w:t>E. 10</w:t>
      </w:r>
    </w:p>
    <w:p>
      <w:r>
        <w:t>Dans les affaires administratives, les parties ont droit à l’assistance judiciaire si elles ne disposent pas de ressources suffisantes (art. 2 al. 1 lit. a de la loi du 11 février 2009 sur l’assistance judiciaire - LAJ ; RS/VS 177.7) et si leur cause ne paraît pas dépourvue de toute chance de succès (lit. b) ; elles n’ont droit à un conseil juridique commis d’office que si sa désignation est nécessaire à la défense de leurs intérêts (lit. c). L’art. 6 al. 1 de l’ordonnance du 9 juin 2010 sur l’assistance judiciaire (OAJ ; RS/VS 177.700) porte que la situation pécuniaire du requérant s’élucide sur la base du dossier et d’une</w:t>
      </w:r>
    </w:p>
    <w:p>
      <w:r>
        <w:t>- 10 - instruction appropriée aux circonstances. L’al. 3 veut que le requérant fournisse les documents et les renseignements qui lui sont demandés, sans quoi il sera réputé avoir échoué à rendre vraisemblable son indigence, sauf si elle ressort du dossier.</w:t>
      </w:r>
    </w:p>
    <w:p>
      <w:r>
        <w:rPr>
          <w:b/>
        </w:rPr>
        <w:t>E. 11</w:t>
      </w:r>
    </w:p>
    <w:p>
      <w:r>
        <w:t>L’OSAMA a refusé à X _________ l’assistance judiciaire qu’il avait demandée en instance de réclamation parce qu’il n’avait pas démontré son indigence, parce que ses conclusions étaient vouées à l’échec, et parce qu’il n’avait pas besoin des services d’un mandataire professionnel. Le bien-fondé du motif pris de la quasi inexistence de chances de succès de la réclamation du 15 novembre 2023 (cf. art. 2 al. 1 lit. b LAJ) appert des cons. 7 et 8 ci- dessus, ce qui dispense de s’attarder sur le reste des arguments échangés sur ce thème.</w:t>
      </w:r>
    </w:p>
    <w:p>
      <w:r>
        <w:rPr>
          <w:b/>
        </w:rPr>
        <w:t>E. 12</w:t>
      </w:r>
    </w:p>
    <w:p>
      <w:r>
        <w:t>L’improbabilité de l’admission du recours de X _________ étant d’emblée évidente, il n’a non plus pas droit à l’assistance judiciaire pour cette procédure.</w:t>
      </w:r>
    </w:p>
    <w:p>
      <w:r>
        <w:rPr>
          <w:b/>
        </w:rPr>
        <w:t>E. 13</w:t>
      </w:r>
    </w:p>
    <w:p>
      <w:r>
        <w:t>Le recours est rejeté (art. 80 al. 1 lit. e, 60 al. 1 LPJA).</w:t>
      </w:r>
    </w:p>
    <w:p>
      <w:r>
        <w:rPr>
          <w:b/>
        </w:rPr>
        <w:t>E. 14</w:t>
      </w:r>
    </w:p>
    <w:p>
      <w:r>
        <w:t>X _________ paiera un émolument de justice de 380 fr., débours compris ; il n’a pas droit à des dépens (art. 89 al. 1 et 91 al. 1 LPJA ; art. 3, 11, 13, 14 al. 2 et 25 de la loi du 11 février 2009 fixant le tarif des frais et dépens devant les autorités judiciaires ou administratives - LTar ; RS/VS 173.8).</w:t>
      </w:r>
    </w:p>
    <w:p>
      <w:r>
        <w:t>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